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C0" w:rsidRDefault="00A51515" w:rsidP="00A51515">
      <w:pPr>
        <w:pStyle w:val="Heading1"/>
      </w:pPr>
      <w:bookmarkStart w:id="0" w:name="_GoBack"/>
      <w:bookmarkEnd w:id="0"/>
      <w:r>
        <w:t>Climate Projections: Model Choices for this Portal</w:t>
      </w:r>
    </w:p>
    <w:p w:rsidR="00DE3209" w:rsidRDefault="00DE3209" w:rsidP="00A51515"/>
    <w:p w:rsidR="00A51515" w:rsidRDefault="00A51515" w:rsidP="00A51515">
      <w:r w:rsidRPr="00A51515">
        <w:t xml:space="preserve">Climate change projections show how climate may change in the future. </w:t>
      </w:r>
      <w:r>
        <w:t xml:space="preserve">There are a range of things to consider when relying on climate change projections to help formulate your natural resource management decisions. For a full discussion of the CSIRO climate change projections, please see the </w:t>
      </w:r>
      <w:hyperlink r:id="rId5" w:history="1">
        <w:r w:rsidRPr="00A51515">
          <w:rPr>
            <w:rStyle w:val="Hyperlink"/>
          </w:rPr>
          <w:t>Climate Change in Australia</w:t>
        </w:r>
      </w:hyperlink>
      <w:r>
        <w:t xml:space="preserve"> website.</w:t>
      </w:r>
    </w:p>
    <w:p w:rsidR="004D625D" w:rsidRDefault="004D625D" w:rsidP="004D625D">
      <w:r>
        <w:t>When displaying climate projections, the timeframe, CO</w:t>
      </w:r>
      <w:r w:rsidRPr="005F15C6">
        <w:rPr>
          <w:vertAlign w:val="subscript"/>
        </w:rPr>
        <w:t>2</w:t>
      </w:r>
      <w:r>
        <w:t xml:space="preserve"> equivalent emission</w:t>
      </w:r>
      <w:r w:rsidR="00D80012">
        <w:t xml:space="preserve"> </w:t>
      </w:r>
      <w:r>
        <w:t>s</w:t>
      </w:r>
      <w:r w:rsidR="00D80012">
        <w:t>cenario</w:t>
      </w:r>
      <w:r>
        <w:t xml:space="preserve"> (RCP), model </w:t>
      </w:r>
      <w:r w:rsidR="00D80012">
        <w:t>applied</w:t>
      </w:r>
      <w:r>
        <w:t xml:space="preserve"> and relevant climate variable need to be chosen. The information displayed in this web portal are based on 2030 and 2070 projections, using a high (RCP 8.5) and low (RCP 4.5) emission scenario. Models used were selected using </w:t>
      </w:r>
      <w:r w:rsidR="00A51515">
        <w:t xml:space="preserve">the CSIRO </w:t>
      </w:r>
      <w:hyperlink r:id="rId6" w:history="1">
        <w:r w:rsidR="00A51515" w:rsidRPr="00A51515">
          <w:rPr>
            <w:rStyle w:val="Hyperlink"/>
          </w:rPr>
          <w:t>Projections Builder Tool</w:t>
        </w:r>
      </w:hyperlink>
      <w:r w:rsidR="00A51515">
        <w:t xml:space="preserve"> </w:t>
      </w:r>
      <w:r>
        <w:t>and six climate variable themes have been selected to be displayed.</w:t>
      </w:r>
    </w:p>
    <w:p w:rsidR="004D625D" w:rsidRDefault="004D625D" w:rsidP="004D625D">
      <w:r>
        <w:t>The rationale for these selections is described below.</w:t>
      </w:r>
    </w:p>
    <w:p w:rsidR="00AF0C85" w:rsidRDefault="00C83649" w:rsidP="00AF0C85">
      <w:pPr>
        <w:pStyle w:val="Subtitle"/>
      </w:pPr>
      <w:r>
        <w:t>Tim</w:t>
      </w:r>
      <w:r w:rsidRPr="00AF0C85">
        <w:rPr>
          <w:rStyle w:val="SubtitleChar"/>
        </w:rPr>
        <w:t>e</w:t>
      </w:r>
      <w:r w:rsidR="00AF0C85">
        <w:t>frames</w:t>
      </w:r>
    </w:p>
    <w:p w:rsidR="00C83649" w:rsidRDefault="00C83649" w:rsidP="00A51515">
      <w:r>
        <w:t>The timeframes of 2030 and 2070 were chosen for two main reasons:</w:t>
      </w:r>
    </w:p>
    <w:p w:rsidR="00C83649" w:rsidRDefault="00C83649" w:rsidP="00C83649">
      <w:pPr>
        <w:pStyle w:val="ListParagraph"/>
        <w:numPr>
          <w:ilvl w:val="0"/>
          <w:numId w:val="1"/>
        </w:numPr>
      </w:pPr>
      <w:r>
        <w:t>To best coincide with data generated from the previous CMIP3 modelling, in particular the U</w:t>
      </w:r>
      <w:r w:rsidR="007056D0">
        <w:t xml:space="preserve">niversity of </w:t>
      </w:r>
      <w:r>
        <w:t>W</w:t>
      </w:r>
      <w:r w:rsidR="007056D0">
        <w:t xml:space="preserve">estern </w:t>
      </w:r>
      <w:r>
        <w:t>A</w:t>
      </w:r>
      <w:r w:rsidR="007056D0">
        <w:t>ustralia’s</w:t>
      </w:r>
      <w:r>
        <w:t xml:space="preserve"> native species modelling and the D</w:t>
      </w:r>
      <w:r w:rsidR="007056D0">
        <w:t xml:space="preserve">epartment of </w:t>
      </w:r>
      <w:r>
        <w:t>A</w:t>
      </w:r>
      <w:r w:rsidR="007056D0">
        <w:t xml:space="preserve">griculture and </w:t>
      </w:r>
      <w:r>
        <w:t>F</w:t>
      </w:r>
      <w:r w:rsidR="007056D0">
        <w:t xml:space="preserve">ood </w:t>
      </w:r>
      <w:r>
        <w:t>WA agricultural production modelling</w:t>
      </w:r>
      <w:r w:rsidR="005B427A">
        <w:t xml:space="preserve"> also presented on this website</w:t>
      </w:r>
      <w:r>
        <w:t xml:space="preserve">. </w:t>
      </w:r>
      <w:r w:rsidR="005B427A">
        <w:t xml:space="preserve">To see a discussion on how CMIP3 and CMIP5 models compare go </w:t>
      </w:r>
      <w:hyperlink r:id="rId7" w:history="1">
        <w:r w:rsidR="005B427A" w:rsidRPr="007056D0">
          <w:rPr>
            <w:rStyle w:val="Hyperlink"/>
          </w:rPr>
          <w:t>here</w:t>
        </w:r>
      </w:hyperlink>
      <w:r w:rsidR="005B427A">
        <w:t>.</w:t>
      </w:r>
    </w:p>
    <w:p w:rsidR="00C83649" w:rsidRDefault="00C83649" w:rsidP="00C83649">
      <w:pPr>
        <w:pStyle w:val="ListParagraph"/>
        <w:numPr>
          <w:ilvl w:val="0"/>
          <w:numId w:val="1"/>
        </w:numPr>
      </w:pPr>
      <w:r>
        <w:t>To be consistent with the timeframes over which planning for agriculture and natural resource management decisions will be made i.e</w:t>
      </w:r>
      <w:r w:rsidR="005B427A">
        <w:t>. for</w:t>
      </w:r>
      <w:r>
        <w:t xml:space="preserve"> the near</w:t>
      </w:r>
      <w:r w:rsidR="005B427A">
        <w:t>-term</w:t>
      </w:r>
      <w:r>
        <w:t xml:space="preserve"> (2030</w:t>
      </w:r>
      <w:r w:rsidR="005B427A">
        <w:t xml:space="preserve"> - fifteen years from today</w:t>
      </w:r>
      <w:r>
        <w:t>) and medium-term (2070</w:t>
      </w:r>
      <w:r w:rsidR="005B427A">
        <w:t xml:space="preserve"> – 65 years from today</w:t>
      </w:r>
      <w:r>
        <w:t xml:space="preserve">). </w:t>
      </w:r>
    </w:p>
    <w:p w:rsidR="00AF0C85" w:rsidRDefault="00C83649" w:rsidP="00AF0C85">
      <w:pPr>
        <w:pStyle w:val="Subtitle"/>
      </w:pPr>
      <w:r>
        <w:t>Representat</w:t>
      </w:r>
      <w:r w:rsidR="00AF0C85">
        <w:t>ive Concentration Pathways</w:t>
      </w:r>
    </w:p>
    <w:p w:rsidR="005B427A" w:rsidRDefault="00AF0C85" w:rsidP="005B427A">
      <w:r>
        <w:t>The latest climate projections are based on four different representative concentration pathways (RCP) which represent a broad range of potential climate futures from very low emissions scenarios (RCP 2.5) to high emissions scenarios (RCP 8.5). For this website, we chose the intermediate (RCP 4.5) and high emissions (RCP</w:t>
      </w:r>
      <w:r w:rsidR="00313306">
        <w:t xml:space="preserve"> </w:t>
      </w:r>
      <w:r>
        <w:t>8</w:t>
      </w:r>
      <w:r w:rsidR="00C83649">
        <w:t>.5</w:t>
      </w:r>
      <w:r>
        <w:t>)</w:t>
      </w:r>
      <w:r w:rsidR="00C83649">
        <w:t xml:space="preserve"> scenarios.</w:t>
      </w:r>
      <w:r w:rsidR="005B427A">
        <w:t xml:space="preserve"> </w:t>
      </w:r>
      <w:r w:rsidR="00C83649">
        <w:t xml:space="preserve"> </w:t>
      </w:r>
      <w:r w:rsidR="005B427A" w:rsidRPr="00C83649">
        <w:t>RCP</w:t>
      </w:r>
      <w:r w:rsidR="0052664A">
        <w:t xml:space="preserve"> </w:t>
      </w:r>
      <w:r w:rsidR="005B427A" w:rsidRPr="00C83649">
        <w:t>4.5</w:t>
      </w:r>
      <w:r w:rsidR="005B427A">
        <w:t xml:space="preserve"> projects that temperatures will be</w:t>
      </w:r>
      <w:r w:rsidR="0052664A">
        <w:t xml:space="preserve"> 1.1-</w:t>
      </w:r>
      <w:r w:rsidR="005B427A" w:rsidRPr="00C83649">
        <w:t>2.6 °C warmer</w:t>
      </w:r>
      <w:r w:rsidR="005B427A">
        <w:t>;</w:t>
      </w:r>
      <w:r w:rsidR="005B427A" w:rsidRPr="00C83649">
        <w:t xml:space="preserve"> and the CO</w:t>
      </w:r>
      <w:r w:rsidR="005B427A" w:rsidRPr="005B427A">
        <w:rPr>
          <w:vertAlign w:val="subscript"/>
        </w:rPr>
        <w:t>2</w:t>
      </w:r>
      <w:r w:rsidR="005B427A">
        <w:t xml:space="preserve"> </w:t>
      </w:r>
      <w:r w:rsidR="005B427A" w:rsidRPr="00C83649">
        <w:t xml:space="preserve">concentration </w:t>
      </w:r>
      <w:r w:rsidR="005B427A">
        <w:t xml:space="preserve">will </w:t>
      </w:r>
      <w:r w:rsidR="005B427A" w:rsidRPr="00C83649">
        <w:t>reach 540 ppm by 2100.</w:t>
      </w:r>
      <w:r w:rsidR="005B427A" w:rsidRPr="005B427A">
        <w:t xml:space="preserve"> </w:t>
      </w:r>
      <w:r w:rsidR="005B427A">
        <w:t>RCP</w:t>
      </w:r>
      <w:r w:rsidR="0052664A">
        <w:t xml:space="preserve"> </w:t>
      </w:r>
      <w:r w:rsidR="005B427A">
        <w:t xml:space="preserve">8.5 projects that temperatures will be </w:t>
      </w:r>
      <w:r w:rsidR="005B427A" w:rsidRPr="005B427A">
        <w:t xml:space="preserve">4.8 °C warmer </w:t>
      </w:r>
      <w:r w:rsidR="005B427A">
        <w:t xml:space="preserve">in a </w:t>
      </w:r>
      <w:r w:rsidR="005B427A" w:rsidRPr="005B427A">
        <w:t>future with little curbing of emissions, with a CO</w:t>
      </w:r>
      <w:r w:rsidR="005B427A" w:rsidRPr="005B427A">
        <w:rPr>
          <w:vertAlign w:val="subscript"/>
        </w:rPr>
        <w:t>2</w:t>
      </w:r>
      <w:r w:rsidR="005B427A">
        <w:t xml:space="preserve"> </w:t>
      </w:r>
      <w:r w:rsidR="005B427A" w:rsidRPr="005B427A">
        <w:t xml:space="preserve">concentration </w:t>
      </w:r>
      <w:r w:rsidR="00313306">
        <w:t xml:space="preserve">rapidly rising to </w:t>
      </w:r>
      <w:r w:rsidR="005B427A" w:rsidRPr="005B427A">
        <w:t>940 ppm by 2100.</w:t>
      </w:r>
      <w:r>
        <w:t xml:space="preserve"> </w:t>
      </w:r>
    </w:p>
    <w:p w:rsidR="00AF0C85" w:rsidRDefault="00AF0C85" w:rsidP="005B427A">
      <w:r>
        <w:t xml:space="preserve">Users </w:t>
      </w:r>
      <w:r w:rsidR="0052664A">
        <w:t>of this website</w:t>
      </w:r>
      <w:r>
        <w:t xml:space="preserve"> should keep in mind that there </w:t>
      </w:r>
      <w:r w:rsidR="00DC47D7">
        <w:t xml:space="preserve">are </w:t>
      </w:r>
      <w:r>
        <w:t xml:space="preserve">a wider range of potential </w:t>
      </w:r>
      <w:r w:rsidR="00DC47D7">
        <w:t xml:space="preserve">climate </w:t>
      </w:r>
      <w:r>
        <w:t>scenar</w:t>
      </w:r>
      <w:r w:rsidR="0052664A">
        <w:t>ios than presented here. The</w:t>
      </w:r>
      <w:r w:rsidR="00DC47D7">
        <w:t>se</w:t>
      </w:r>
      <w:r w:rsidR="0052664A">
        <w:t xml:space="preserve"> data are available from the CSIRO </w:t>
      </w:r>
      <w:hyperlink r:id="rId8" w:history="1">
        <w:r w:rsidR="0052664A" w:rsidRPr="0052664A">
          <w:rPr>
            <w:rStyle w:val="Hyperlink"/>
          </w:rPr>
          <w:t>Climate Change in Australia</w:t>
        </w:r>
      </w:hyperlink>
      <w:r w:rsidR="0052664A">
        <w:t xml:space="preserve"> website, however, they are not analysed at the regional and sub-re</w:t>
      </w:r>
      <w:r w:rsidR="00B37277">
        <w:t>gional scale as presented here.</w:t>
      </w:r>
    </w:p>
    <w:p w:rsidR="005B427A" w:rsidRDefault="00AF0C85" w:rsidP="00AF0C85">
      <w:pPr>
        <w:pStyle w:val="Subtitle"/>
      </w:pPr>
      <w:r>
        <w:t>Climate Themes</w:t>
      </w:r>
      <w:r w:rsidR="00EF24E8">
        <w:t xml:space="preserve"> for Sustainable Agriculture</w:t>
      </w:r>
      <w:r w:rsidR="007056D0">
        <w:t xml:space="preserve"> and Biodiversity</w:t>
      </w:r>
    </w:p>
    <w:p w:rsidR="00B37277" w:rsidRDefault="00B37277" w:rsidP="00911E55">
      <w:r>
        <w:t xml:space="preserve">The data are presented here under six climate themes deemed relevant to </w:t>
      </w:r>
      <w:r w:rsidR="00EF24E8">
        <w:t>sustainable agriculture activities</w:t>
      </w:r>
      <w:r w:rsidR="003352B1">
        <w:t xml:space="preserve"> and biodiversity impacts</w:t>
      </w:r>
      <w:r w:rsidR="00EF24E8">
        <w:t xml:space="preserve"> </w:t>
      </w:r>
      <w:r>
        <w:t>in the Wheatbelt region:</w:t>
      </w:r>
    </w:p>
    <w:p w:rsidR="00911E55" w:rsidRDefault="00D16132" w:rsidP="00B37277">
      <w:pPr>
        <w:pStyle w:val="ListParagraph"/>
        <w:numPr>
          <w:ilvl w:val="0"/>
          <w:numId w:val="6"/>
        </w:numPr>
      </w:pPr>
      <w:r>
        <w:lastRenderedPageBreak/>
        <w:t>Average Annual Temperature;</w:t>
      </w:r>
    </w:p>
    <w:p w:rsidR="00911E55" w:rsidRDefault="00911E55" w:rsidP="00B37277">
      <w:pPr>
        <w:pStyle w:val="ListParagraph"/>
        <w:numPr>
          <w:ilvl w:val="0"/>
          <w:numId w:val="6"/>
        </w:numPr>
      </w:pPr>
      <w:r>
        <w:t xml:space="preserve">Minimum </w:t>
      </w:r>
      <w:r w:rsidR="00D16132">
        <w:t>t</w:t>
      </w:r>
      <w:r w:rsidR="00B37277">
        <w:t xml:space="preserve">emperature </w:t>
      </w:r>
      <w:r w:rsidR="00D16132">
        <w:t>d</w:t>
      </w:r>
      <w:r>
        <w:t xml:space="preserve">uring </w:t>
      </w:r>
      <w:r w:rsidR="00D16132">
        <w:t>f</w:t>
      </w:r>
      <w:r>
        <w:t xml:space="preserve">rost </w:t>
      </w:r>
      <w:r w:rsidR="00D16132">
        <w:t>r</w:t>
      </w:r>
      <w:r>
        <w:t xml:space="preserve">isk </w:t>
      </w:r>
      <w:r w:rsidR="00B37277">
        <w:t xml:space="preserve">times </w:t>
      </w:r>
      <w:r>
        <w:t>(Jun-Aug)</w:t>
      </w:r>
      <w:r w:rsidR="00D16132">
        <w:t>;</w:t>
      </w:r>
    </w:p>
    <w:p w:rsidR="00911E55" w:rsidRDefault="00911E55" w:rsidP="00B37277">
      <w:pPr>
        <w:pStyle w:val="ListParagraph"/>
        <w:numPr>
          <w:ilvl w:val="0"/>
          <w:numId w:val="6"/>
        </w:numPr>
        <w:spacing w:after="0" w:line="240" w:lineRule="auto"/>
        <w:contextualSpacing w:val="0"/>
      </w:pPr>
      <w:r>
        <w:t xml:space="preserve">Maximum </w:t>
      </w:r>
      <w:r w:rsidR="00D16132">
        <w:t>t</w:t>
      </w:r>
      <w:r w:rsidR="00B37277">
        <w:t xml:space="preserve">emperature </w:t>
      </w:r>
      <w:r w:rsidR="00D16132">
        <w:t>during heat stress risk t</w:t>
      </w:r>
      <w:r>
        <w:t>imes (Sep-Dec)</w:t>
      </w:r>
      <w:r w:rsidR="00D16132">
        <w:t>;</w:t>
      </w:r>
    </w:p>
    <w:p w:rsidR="00911E55" w:rsidRDefault="00D16132" w:rsidP="00B37277">
      <w:pPr>
        <w:pStyle w:val="ListParagraph"/>
        <w:numPr>
          <w:ilvl w:val="0"/>
          <w:numId w:val="6"/>
        </w:numPr>
      </w:pPr>
      <w:r>
        <w:t>Average annual r</w:t>
      </w:r>
      <w:r w:rsidR="00911E55">
        <w:t>ainfall</w:t>
      </w:r>
      <w:r>
        <w:t>;</w:t>
      </w:r>
    </w:p>
    <w:p w:rsidR="00911E55" w:rsidRDefault="00D16132" w:rsidP="00B37277">
      <w:pPr>
        <w:pStyle w:val="ListParagraph"/>
        <w:numPr>
          <w:ilvl w:val="0"/>
          <w:numId w:val="6"/>
        </w:numPr>
      </w:pPr>
      <w:r>
        <w:t>Growing season r</w:t>
      </w:r>
      <w:r w:rsidR="00911E55">
        <w:t>ainfall</w:t>
      </w:r>
      <w:r>
        <w:t xml:space="preserve"> and;</w:t>
      </w:r>
    </w:p>
    <w:p w:rsidR="00911E55" w:rsidRDefault="00D16132" w:rsidP="00B37277">
      <w:pPr>
        <w:pStyle w:val="ListParagraph"/>
        <w:numPr>
          <w:ilvl w:val="0"/>
          <w:numId w:val="6"/>
        </w:numPr>
        <w:spacing w:after="0" w:line="240" w:lineRule="auto"/>
      </w:pPr>
      <w:r>
        <w:t>Summer r</w:t>
      </w:r>
      <w:r w:rsidR="00B02D69">
        <w:t>ainfall.</w:t>
      </w:r>
    </w:p>
    <w:p w:rsidR="00620DC6" w:rsidRDefault="00620DC6" w:rsidP="00620DC6">
      <w:pPr>
        <w:pStyle w:val="ListParagraph"/>
        <w:spacing w:after="0" w:line="240" w:lineRule="auto"/>
      </w:pPr>
    </w:p>
    <w:p w:rsidR="00B02D69" w:rsidRPr="00620DC6" w:rsidRDefault="00620DC6" w:rsidP="00B02D69">
      <w:pPr>
        <w:spacing w:after="0" w:line="240" w:lineRule="auto"/>
        <w:rPr>
          <w:rFonts w:asciiTheme="majorHAnsi" w:eastAsiaTheme="majorEastAsia" w:hAnsiTheme="majorHAnsi" w:cstheme="majorBidi"/>
          <w:i/>
          <w:iCs/>
          <w:color w:val="4F81BD" w:themeColor="accent1"/>
          <w:spacing w:val="15"/>
          <w:sz w:val="24"/>
          <w:szCs w:val="24"/>
        </w:rPr>
      </w:pPr>
      <w:r w:rsidRPr="00620DC6">
        <w:rPr>
          <w:rFonts w:asciiTheme="majorHAnsi" w:eastAsiaTheme="majorEastAsia" w:hAnsiTheme="majorHAnsi" w:cstheme="majorBidi"/>
          <w:i/>
          <w:iCs/>
          <w:color w:val="4F81BD" w:themeColor="accent1"/>
          <w:spacing w:val="15"/>
          <w:sz w:val="24"/>
          <w:szCs w:val="24"/>
        </w:rPr>
        <w:t>Model Choices</w:t>
      </w:r>
    </w:p>
    <w:p w:rsidR="00620DC6" w:rsidRDefault="004D625D" w:rsidP="005B427A">
      <w:r w:rsidRPr="004D625D">
        <w:t>For the purp</w:t>
      </w:r>
      <w:r>
        <w:t>oses of this web portal,</w:t>
      </w:r>
      <w:r w:rsidRPr="004D625D">
        <w:t xml:space="preserve"> the CSIRO </w:t>
      </w:r>
      <w:hyperlink r:id="rId9" w:history="1">
        <w:r w:rsidRPr="00A51515">
          <w:rPr>
            <w:rStyle w:val="Hyperlink"/>
          </w:rPr>
          <w:t>Projections Builder Tool</w:t>
        </w:r>
      </w:hyperlink>
      <w:r>
        <w:rPr>
          <w:rStyle w:val="Hyperlink"/>
        </w:rPr>
        <w:t xml:space="preserve"> </w:t>
      </w:r>
      <w:r w:rsidRPr="004D625D">
        <w:t>has been used to guide the selection of the most relevant models to use for the Wheatbelt (Avon) NRM region</w:t>
      </w:r>
      <w:r>
        <w:t xml:space="preserve">. </w:t>
      </w:r>
      <w:r w:rsidR="00620DC6">
        <w:t xml:space="preserve">In all cases, the “maximum consensus” representative models were chosen for spatial data download. All had a moderate (33-66%) consensus. </w:t>
      </w:r>
      <w:r w:rsidR="00623265">
        <w:t xml:space="preserve">Data </w:t>
      </w:r>
      <w:r w:rsidR="003352B1">
        <w:t>were accessed</w:t>
      </w:r>
      <w:r w:rsidR="00623265">
        <w:t xml:space="preserve"> from the CSIRO </w:t>
      </w:r>
      <w:hyperlink r:id="rId10" w:history="1">
        <w:r w:rsidR="00623265" w:rsidRPr="00623265">
          <w:rPr>
            <w:rStyle w:val="Hyperlink"/>
          </w:rPr>
          <w:t>Map Explorer</w:t>
        </w:r>
      </w:hyperlink>
      <w:r w:rsidR="00623265">
        <w:t xml:space="preserve"> 18/08/2015.</w:t>
      </w:r>
    </w:p>
    <w:tbl>
      <w:tblPr>
        <w:tblStyle w:val="LightGrid-Accent5"/>
        <w:tblW w:w="0" w:type="auto"/>
        <w:jc w:val="center"/>
        <w:tblLook w:val="04A0" w:firstRow="1" w:lastRow="0" w:firstColumn="1" w:lastColumn="0" w:noHBand="0" w:noVBand="1"/>
      </w:tblPr>
      <w:tblGrid>
        <w:gridCol w:w="681"/>
        <w:gridCol w:w="1268"/>
        <w:gridCol w:w="2992"/>
        <w:gridCol w:w="1317"/>
      </w:tblGrid>
      <w:tr w:rsidR="00623265" w:rsidRPr="00E925FE" w:rsidTr="00706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4"/>
          </w:tcPr>
          <w:p w:rsidR="00623265" w:rsidRPr="00E925FE" w:rsidRDefault="00F111C0" w:rsidP="005B427A">
            <w:pPr>
              <w:rPr>
                <w:rFonts w:ascii="Arial" w:hAnsi="Arial" w:cs="Arial"/>
              </w:rPr>
            </w:pPr>
            <w:r>
              <w:rPr>
                <w:rFonts w:ascii="Arial" w:hAnsi="Arial" w:cs="Arial"/>
              </w:rPr>
              <w:t>Table x. Models chosen for data download</w:t>
            </w:r>
          </w:p>
        </w:tc>
      </w:tr>
      <w:tr w:rsidR="00E925FE" w:rsidRPr="00E925FE" w:rsidTr="00623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25FE" w:rsidRPr="00E925FE" w:rsidRDefault="00E925FE" w:rsidP="005B427A">
            <w:pPr>
              <w:rPr>
                <w:rFonts w:ascii="Arial" w:hAnsi="Arial" w:cs="Arial"/>
              </w:rPr>
            </w:pPr>
            <w:r w:rsidRPr="00E925FE">
              <w:rPr>
                <w:rFonts w:ascii="Arial" w:hAnsi="Arial" w:cs="Arial"/>
              </w:rPr>
              <w:t>RCP</w:t>
            </w:r>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Timeframe</w:t>
            </w:r>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Maximum Consensus Model</w:t>
            </w:r>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Consensus</w:t>
            </w:r>
          </w:p>
        </w:tc>
      </w:tr>
      <w:tr w:rsidR="00E925FE" w:rsidRPr="00E925FE" w:rsidTr="0062326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25FE" w:rsidRPr="00E925FE" w:rsidRDefault="00E925FE" w:rsidP="005B427A">
            <w:pPr>
              <w:rPr>
                <w:rFonts w:ascii="Arial" w:hAnsi="Arial" w:cs="Arial"/>
                <w:b w:val="0"/>
              </w:rPr>
            </w:pPr>
            <w:r w:rsidRPr="00E925FE">
              <w:rPr>
                <w:rFonts w:ascii="Arial" w:hAnsi="Arial" w:cs="Arial"/>
                <w:b w:val="0"/>
              </w:rPr>
              <w:t>4.5</w:t>
            </w:r>
          </w:p>
        </w:tc>
        <w:tc>
          <w:tcPr>
            <w:tcW w:w="0" w:type="auto"/>
          </w:tcPr>
          <w:p w:rsidR="00E925FE" w:rsidRPr="00E925FE" w:rsidRDefault="00E925FE" w:rsidP="005B427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925FE">
              <w:rPr>
                <w:rFonts w:ascii="Arial" w:hAnsi="Arial" w:cs="Arial"/>
              </w:rPr>
              <w:t>2030</w:t>
            </w:r>
          </w:p>
        </w:tc>
        <w:tc>
          <w:tcPr>
            <w:tcW w:w="0" w:type="auto"/>
          </w:tcPr>
          <w:p w:rsidR="00E925FE" w:rsidRPr="00E925FE" w:rsidRDefault="006A3AF5" w:rsidP="00243884">
            <w:pPr>
              <w:cnfStyle w:val="000000010000" w:firstRow="0" w:lastRow="0" w:firstColumn="0" w:lastColumn="0" w:oddVBand="0" w:evenVBand="0" w:oddHBand="0" w:evenHBand="1" w:firstRowFirstColumn="0" w:firstRowLastColumn="0" w:lastRowFirstColumn="0" w:lastRowLastColumn="0"/>
              <w:rPr>
                <w:rFonts w:ascii="Arial" w:hAnsi="Arial" w:cs="Arial"/>
              </w:rPr>
            </w:pPr>
            <w:hyperlink r:id="rId11" w:history="1">
              <w:r w:rsidR="00E925FE" w:rsidRPr="00E925FE">
                <w:rPr>
                  <w:rStyle w:val="Hyperlink"/>
                  <w:rFonts w:ascii="Arial" w:hAnsi="Arial" w:cs="Arial"/>
                </w:rPr>
                <w:t>CanESM2</w:t>
              </w:r>
            </w:hyperlink>
          </w:p>
        </w:tc>
        <w:tc>
          <w:tcPr>
            <w:tcW w:w="0" w:type="auto"/>
          </w:tcPr>
          <w:p w:rsidR="00E925FE" w:rsidRPr="00E925FE" w:rsidRDefault="00E925FE" w:rsidP="005B427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925FE">
              <w:rPr>
                <w:rFonts w:ascii="Arial" w:hAnsi="Arial" w:cs="Arial"/>
              </w:rPr>
              <w:t>Moderate</w:t>
            </w:r>
          </w:p>
        </w:tc>
      </w:tr>
      <w:tr w:rsidR="00E925FE" w:rsidRPr="00E925FE" w:rsidTr="00623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25FE" w:rsidRPr="00E925FE" w:rsidRDefault="00E925FE" w:rsidP="005B427A">
            <w:pPr>
              <w:rPr>
                <w:rFonts w:ascii="Arial" w:hAnsi="Arial" w:cs="Arial"/>
                <w:b w:val="0"/>
              </w:rPr>
            </w:pPr>
            <w:r w:rsidRPr="00E925FE">
              <w:rPr>
                <w:rFonts w:ascii="Arial" w:hAnsi="Arial" w:cs="Arial"/>
                <w:b w:val="0"/>
              </w:rPr>
              <w:t>4.5</w:t>
            </w:r>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2070</w:t>
            </w:r>
          </w:p>
        </w:tc>
        <w:tc>
          <w:tcPr>
            <w:tcW w:w="0" w:type="auto"/>
          </w:tcPr>
          <w:p w:rsidR="00E925FE" w:rsidRPr="00E925FE" w:rsidRDefault="006A3AF5" w:rsidP="00243884">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 w:history="1">
              <w:r w:rsidR="00E925FE" w:rsidRPr="00E925FE">
                <w:rPr>
                  <w:rStyle w:val="Hyperlink"/>
                  <w:rFonts w:ascii="Arial" w:hAnsi="Arial" w:cs="Arial"/>
                </w:rPr>
                <w:t>CESM1-CAM5</w:t>
              </w:r>
            </w:hyperlink>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Moderate</w:t>
            </w:r>
          </w:p>
        </w:tc>
      </w:tr>
      <w:tr w:rsidR="00E925FE" w:rsidRPr="00E925FE" w:rsidTr="0062326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25FE" w:rsidRPr="00E925FE" w:rsidRDefault="00E925FE" w:rsidP="005B427A">
            <w:pPr>
              <w:rPr>
                <w:rFonts w:ascii="Arial" w:hAnsi="Arial" w:cs="Arial"/>
                <w:b w:val="0"/>
              </w:rPr>
            </w:pPr>
            <w:r w:rsidRPr="00E925FE">
              <w:rPr>
                <w:rFonts w:ascii="Arial" w:hAnsi="Arial" w:cs="Arial"/>
                <w:b w:val="0"/>
              </w:rPr>
              <w:t>8.5</w:t>
            </w:r>
          </w:p>
        </w:tc>
        <w:tc>
          <w:tcPr>
            <w:tcW w:w="0" w:type="auto"/>
          </w:tcPr>
          <w:p w:rsidR="00E925FE" w:rsidRPr="00E925FE" w:rsidRDefault="00E925FE" w:rsidP="005B427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925FE">
              <w:rPr>
                <w:rFonts w:ascii="Arial" w:hAnsi="Arial" w:cs="Arial"/>
              </w:rPr>
              <w:t>2030</w:t>
            </w:r>
          </w:p>
        </w:tc>
        <w:tc>
          <w:tcPr>
            <w:tcW w:w="0" w:type="auto"/>
          </w:tcPr>
          <w:p w:rsidR="00E925FE" w:rsidRPr="00E925FE" w:rsidRDefault="006A3AF5" w:rsidP="00243884">
            <w:pPr>
              <w:cnfStyle w:val="000000010000" w:firstRow="0" w:lastRow="0" w:firstColumn="0" w:lastColumn="0" w:oddVBand="0" w:evenVBand="0" w:oddHBand="0" w:evenHBand="1" w:firstRowFirstColumn="0" w:firstRowLastColumn="0" w:lastRowFirstColumn="0" w:lastRowLastColumn="0"/>
              <w:rPr>
                <w:rFonts w:ascii="Arial" w:hAnsi="Arial" w:cs="Arial"/>
              </w:rPr>
            </w:pPr>
            <w:hyperlink r:id="rId13" w:history="1">
              <w:r w:rsidR="00E925FE" w:rsidRPr="00E925FE">
                <w:rPr>
                  <w:rStyle w:val="Hyperlink"/>
                  <w:rFonts w:ascii="Arial" w:hAnsi="Arial" w:cs="Arial"/>
                </w:rPr>
                <w:t>CESM1-CAM5</w:t>
              </w:r>
            </w:hyperlink>
          </w:p>
        </w:tc>
        <w:tc>
          <w:tcPr>
            <w:tcW w:w="0" w:type="auto"/>
          </w:tcPr>
          <w:p w:rsidR="00E925FE" w:rsidRPr="00E925FE" w:rsidRDefault="00E925FE" w:rsidP="005B427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925FE">
              <w:rPr>
                <w:rFonts w:ascii="Arial" w:hAnsi="Arial" w:cs="Arial"/>
              </w:rPr>
              <w:t>Moderate</w:t>
            </w:r>
          </w:p>
        </w:tc>
      </w:tr>
      <w:tr w:rsidR="00E925FE" w:rsidRPr="00E925FE" w:rsidTr="00623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25FE" w:rsidRPr="00E925FE" w:rsidRDefault="00E925FE" w:rsidP="005B427A">
            <w:pPr>
              <w:rPr>
                <w:rFonts w:ascii="Arial" w:hAnsi="Arial" w:cs="Arial"/>
                <w:b w:val="0"/>
              </w:rPr>
            </w:pPr>
            <w:r w:rsidRPr="00E925FE">
              <w:rPr>
                <w:rFonts w:ascii="Arial" w:hAnsi="Arial" w:cs="Arial"/>
                <w:b w:val="0"/>
              </w:rPr>
              <w:t>8.5</w:t>
            </w:r>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2070</w:t>
            </w:r>
          </w:p>
        </w:tc>
        <w:tc>
          <w:tcPr>
            <w:tcW w:w="0" w:type="auto"/>
          </w:tcPr>
          <w:p w:rsidR="00E925FE" w:rsidRPr="00E925FE" w:rsidRDefault="006A3AF5" w:rsidP="00243884">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4" w:history="1">
              <w:r w:rsidR="00E925FE" w:rsidRPr="00E925FE">
                <w:rPr>
                  <w:rStyle w:val="Hyperlink"/>
                  <w:rFonts w:ascii="Arial" w:hAnsi="Arial" w:cs="Arial"/>
                </w:rPr>
                <w:t>GFDL-ESM2M</w:t>
              </w:r>
            </w:hyperlink>
          </w:p>
        </w:tc>
        <w:tc>
          <w:tcPr>
            <w:tcW w:w="0" w:type="auto"/>
          </w:tcPr>
          <w:p w:rsidR="00E925FE" w:rsidRPr="00E925FE" w:rsidRDefault="00E925FE" w:rsidP="005B42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25FE">
              <w:rPr>
                <w:rFonts w:ascii="Arial" w:hAnsi="Arial" w:cs="Arial"/>
              </w:rPr>
              <w:t>Moderate</w:t>
            </w:r>
          </w:p>
        </w:tc>
      </w:tr>
    </w:tbl>
    <w:p w:rsidR="00911E55" w:rsidRDefault="00911E55" w:rsidP="005B427A"/>
    <w:p w:rsidR="005B427A" w:rsidRDefault="005B427A" w:rsidP="005B427A"/>
    <w:p w:rsidR="005B427A" w:rsidRDefault="005B427A" w:rsidP="005B427A"/>
    <w:p w:rsidR="00C83649" w:rsidRDefault="00C83649" w:rsidP="00C83649"/>
    <w:p w:rsidR="00C83649" w:rsidRPr="00A51515" w:rsidRDefault="00C83649" w:rsidP="00A51515"/>
    <w:sectPr w:rsidR="00C83649" w:rsidRPr="00A51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15A"/>
    <w:multiLevelType w:val="hybridMultilevel"/>
    <w:tmpl w:val="FD5C6910"/>
    <w:lvl w:ilvl="0" w:tplc="275A32BE">
      <w:numFmt w:val="bullet"/>
      <w:lvlText w:val="-"/>
      <w:lvlJc w:val="left"/>
      <w:pPr>
        <w:ind w:left="1800" w:hanging="360"/>
      </w:pPr>
      <w:rPr>
        <w:rFonts w:ascii="Calibri" w:eastAsia="Calibri" w:hAnsi="Calibri"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 w15:restartNumberingAfterBreak="0">
    <w:nsid w:val="25E62CF3"/>
    <w:multiLevelType w:val="hybridMultilevel"/>
    <w:tmpl w:val="AB6011BA"/>
    <w:lvl w:ilvl="0" w:tplc="0C09000F">
      <w:start w:val="1"/>
      <w:numFmt w:val="decimal"/>
      <w:lvlText w:val="%1."/>
      <w:lvlJc w:val="left"/>
      <w:pPr>
        <w:ind w:left="720" w:hanging="360"/>
      </w:pPr>
    </w:lvl>
    <w:lvl w:ilvl="1" w:tplc="577A7C0C">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5D2766"/>
    <w:multiLevelType w:val="hybridMultilevel"/>
    <w:tmpl w:val="4114E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304589"/>
    <w:multiLevelType w:val="hybridMultilevel"/>
    <w:tmpl w:val="0ABE7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BC10B8"/>
    <w:multiLevelType w:val="hybridMultilevel"/>
    <w:tmpl w:val="315E4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15"/>
    <w:rsid w:val="00132419"/>
    <w:rsid w:val="002D36AE"/>
    <w:rsid w:val="00313306"/>
    <w:rsid w:val="0032019A"/>
    <w:rsid w:val="003352B1"/>
    <w:rsid w:val="004D625D"/>
    <w:rsid w:val="0052664A"/>
    <w:rsid w:val="005B427A"/>
    <w:rsid w:val="005F15C6"/>
    <w:rsid w:val="00603C4F"/>
    <w:rsid w:val="00620DC6"/>
    <w:rsid w:val="00623265"/>
    <w:rsid w:val="006244E4"/>
    <w:rsid w:val="006845F4"/>
    <w:rsid w:val="006A3AF5"/>
    <w:rsid w:val="006E7A44"/>
    <w:rsid w:val="007056D0"/>
    <w:rsid w:val="00911E55"/>
    <w:rsid w:val="00A51515"/>
    <w:rsid w:val="00AF0C85"/>
    <w:rsid w:val="00B02D69"/>
    <w:rsid w:val="00B37277"/>
    <w:rsid w:val="00C17F3B"/>
    <w:rsid w:val="00C83649"/>
    <w:rsid w:val="00D16132"/>
    <w:rsid w:val="00D80012"/>
    <w:rsid w:val="00DC47D7"/>
    <w:rsid w:val="00DE3209"/>
    <w:rsid w:val="00E925FE"/>
    <w:rsid w:val="00EA4A10"/>
    <w:rsid w:val="00EE40C0"/>
    <w:rsid w:val="00EF24E8"/>
    <w:rsid w:val="00F11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BF3C1-BBDB-4D19-850C-C13AA18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1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51515"/>
    <w:rPr>
      <w:color w:val="0000FF" w:themeColor="hyperlink"/>
      <w:u w:val="single"/>
    </w:rPr>
  </w:style>
  <w:style w:type="paragraph" w:styleId="ListParagraph">
    <w:name w:val="List Paragraph"/>
    <w:basedOn w:val="Normal"/>
    <w:uiPriority w:val="34"/>
    <w:qFormat/>
    <w:rsid w:val="00C83649"/>
    <w:pPr>
      <w:ind w:left="720"/>
      <w:contextualSpacing/>
    </w:pPr>
  </w:style>
  <w:style w:type="paragraph" w:styleId="Subtitle">
    <w:name w:val="Subtitle"/>
    <w:basedOn w:val="Normal"/>
    <w:next w:val="Normal"/>
    <w:link w:val="SubtitleChar"/>
    <w:uiPriority w:val="11"/>
    <w:qFormat/>
    <w:rsid w:val="00AF0C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0C85"/>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2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925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E925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684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5F4"/>
    <w:rPr>
      <w:rFonts w:ascii="Tahoma" w:hAnsi="Tahoma" w:cs="Tahoma"/>
      <w:sz w:val="16"/>
      <w:szCs w:val="16"/>
    </w:rPr>
  </w:style>
  <w:style w:type="character" w:styleId="FollowedHyperlink">
    <w:name w:val="FollowedHyperlink"/>
    <w:basedOn w:val="DefaultParagraphFont"/>
    <w:uiPriority w:val="99"/>
    <w:semiHidden/>
    <w:unhideWhenUsed/>
    <w:rsid w:val="004D6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inaustralia.gov.au/en/climate-projections/climate-futures-tool/projections-builder/" TargetMode="External"/><Relationship Id="rId13" Type="http://schemas.openxmlformats.org/officeDocument/2006/relationships/hyperlink" Target="http://www.climatechangeinaustralia.gov.au/en/climate-projections/climate-futures-tool/model/51/" TargetMode="External"/><Relationship Id="rId3" Type="http://schemas.openxmlformats.org/officeDocument/2006/relationships/settings" Target="settings.xml"/><Relationship Id="rId7" Type="http://schemas.openxmlformats.org/officeDocument/2006/relationships/hyperlink" Target="http://www.climatechange.environment.nsw.gov.au/Climate-projections-for-NSW/About-NARCliM/CMIP3-vs-CMIP5" TargetMode="External"/><Relationship Id="rId12" Type="http://schemas.openxmlformats.org/officeDocument/2006/relationships/hyperlink" Target="http://www.climatechangeinaustralia.gov.au/en/climate-projections/climate-futures-tool/model/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limatechangeinaustralia.gov.au/en/climate-projections/climate-futures-tool/projections-builder/" TargetMode="External"/><Relationship Id="rId11" Type="http://schemas.openxmlformats.org/officeDocument/2006/relationships/hyperlink" Target="http://www.climatechange.environment.nsw.gov.au/Climate-projections-for-NSW/About-NARCliM/CMIP3-vs-CMIP5" TargetMode="External"/><Relationship Id="rId5" Type="http://schemas.openxmlformats.org/officeDocument/2006/relationships/hyperlink" Target="http://www.climatechangeinaustralia.gov.au/en/climate-projections/explore-data/threshold-calculator/" TargetMode="External"/><Relationship Id="rId15" Type="http://schemas.openxmlformats.org/officeDocument/2006/relationships/fontTable" Target="fontTable.xml"/><Relationship Id="rId10" Type="http://schemas.openxmlformats.org/officeDocument/2006/relationships/hyperlink" Target="http://www.climatechangeinaustralia.gov.au/en/climate-projections/explore-data/map-explorer/" TargetMode="External"/><Relationship Id="rId4" Type="http://schemas.openxmlformats.org/officeDocument/2006/relationships/webSettings" Target="webSettings.xml"/><Relationship Id="rId9" Type="http://schemas.openxmlformats.org/officeDocument/2006/relationships/hyperlink" Target="http://www.climatechangeinaustralia.gov.au/en/climate-projections/climate-futures-tool/projections-builder/" TargetMode="External"/><Relationship Id="rId14" Type="http://schemas.openxmlformats.org/officeDocument/2006/relationships/hyperlink" Target="http://www.climatechangeinaustralia.gov.au/en/climate-projections/climate-futures-tool/model/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Dimity Boggs</dc:creator>
  <cp:lastModifiedBy>Chris David</cp:lastModifiedBy>
  <cp:revision>2</cp:revision>
  <dcterms:created xsi:type="dcterms:W3CDTF">2016-09-06T15:09:00Z</dcterms:created>
  <dcterms:modified xsi:type="dcterms:W3CDTF">2016-09-06T15:09:00Z</dcterms:modified>
</cp:coreProperties>
</file>